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Scheda tecnica Spazio Zero Band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Il gruppo è composto da 2 chitarre, 1 basso, 1 sez. batteria, 1 sez. tastiere, un cantante.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Necessitano quindi i seguenti ingressi: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N. 3 ingressi mono perle 2 chitarre e 1 basso attraverso POD Line 6;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N. 3 ingressi stereo per tastiere e moduli sonori. Eventualmente il modulo sonoro Zoom R24 può essere </w:t>
      </w:r>
      <w:r>
        <w:rPr>
          <w:rStyle w:val="Character0"/>
        </w:rPr>
        <w:t xml:space="preserve">usato come mixer con uscite bilanciate ed accorpare i seguenti6 ingressi in due;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N. 1 ingressi stereo per batteria elettronica usata con triggers sulla batteria acustica, oltre il set classico di </w:t>
      </w:r>
      <w:r>
        <w:rPr>
          <w:rStyle w:val="Character0"/>
        </w:rPr>
        <w:t xml:space="preserve">microfoni per batteria acustica secondo le indicazioni del fonico.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N. 5 ingressi microfoni per cantanti lead e vocalist, di cui uno con radiomicrofono per il cantante </w:t>
      </w:r>
      <w:r>
        <w:rPr>
          <w:rStyle w:val="Character0"/>
        </w:rPr>
        <w:t xml:space="preserve">principale (specificare se presente o se da portare).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Per il monitoraggio palco da considerare un monitor a componente, quindi 6 in tutto.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Necessiteremo, ove possibile, di un piccolo faretto alogeno bianco</w:t>
      </w:r>
    </w:p>
    <w:p>
      <w:pPr>
        <w:pStyle w:val="Para0"/>
        <w:spacing w:line="313" w:lineRule="auto"/>
        <w:ind w:left="0"/>
        <w:rPr>
          <w:sz w:val="20"/>
          <w:szCs w:val="20"/>
        </w:rPr>
      </w:pPr>
      <w:r>
        <w:rPr>
          <w:rStyle w:val="Character0"/>
        </w:rPr>
        <w:t xml:space="preserve">Per ogni chiarimento Claudio 3408602177 o 0412771136</w:t>
      </w:r>
    </w:p>
    <w:sectPr>
      <w:pgSz w:w="11906" w:h="16838" w:orient="landscape" w:code="9"/>
      <w:pgMar w:top="1134" w:right="1701" w:bottom="850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¹Å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¹Å" w:eastAsia="¹Å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Á¸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